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center"/>
      </w:pPr>
      <w:r>
        <w:t xml:space="preserve">生成AIの社内ルール（ひな形）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shd w:fill="F2F2F2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340"/>
              <w:rPr>
                <w:b/>
                <w:bCs/>
              </w:rPr>
            </w:pPr>
            <w:r>
              <w:rPr>
                <w:b/>
                <w:bCs/>
              </w:rPr>
              <w:t xml:space="preserve">これはひな形です。自社の就業規則などと照らし合わせ、必要に応じて専門家に相談してから使ってください。このルールを守っても、著作権などの問題が起きないとは限りません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 w:line="340"/>
      </w:pPr>
      <w:r>
        <w:t xml:space="preserve">（会社名）で、仕事に生成AIを使うときのルールです。生成AIとは、文章で指示すると、文章や表などを作って返すAIのことです。</w:t>
      </w:r>
    </w:p>
    <w:p>
      <w:pPr>
        <w:spacing w:after="120" w:line="340"/>
      </w:pPr>
      <w:r>
        <w:t xml:space="preserve">対象：（パート・派遣・役員を含め、会社の仕事で生成AIを使うすべての人）</w:t>
      </w:r>
    </w:p>
    <w:p>
      <w:pPr>
        <w:spacing w:after="120" w:line="340"/>
      </w:pPr>
      <w:r>
        <w:t xml:space="preserve">決めた日：（　　年　　月　　日）　　決めた人：（役職・氏名）　　担当者：（部署・氏名）</w:t>
      </w:r>
    </w:p>
    <w:p>
      <w:pPr>
        <w:pStyle w:val="Heading1"/>
        <w:keepNext/>
        <w:spacing w:after="140" w:before="320"/>
      </w:pPr>
      <w:r>
        <w:t xml:space="preserve">5つのルール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t xml:space="preserve">会社が決めたサービスだけを使う。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t xml:space="preserve">個人情報は入れない。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t xml:space="preserve">会社の秘密は入れない。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t xml:space="preserve">答えはそのまま使わず、人が確かめる。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t xml:space="preserve">迷ったら入れる前に聞く。困ったらすぐ知らせる。</w:t>
      </w:r>
    </w:p>
    <w:p>
      <w:pPr>
        <w:pStyle w:val="Heading1"/>
        <w:keepNext/>
        <w:spacing w:after="140" w:before="320"/>
      </w:pPr>
      <w:r>
        <w:t xml:space="preserve">ルール1：使ってよいサービス</w:t>
      </w:r>
    </w:p>
    <w:p>
      <w:pPr>
        <w:spacing w:after="120" w:line="340"/>
      </w:pPr>
      <w:r>
        <w:t xml:space="preserve">生成AIは、下の表にあるサービスを、表にあるアカウントで使います。アカウントとは、サービスを使うための登録のことです。</w:t>
      </w:r>
    </w:p>
    <w:p>
      <w:pPr>
        <w:spacing w:after="120" w:line="340"/>
      </w:pPr>
      <w:r>
        <w:t xml:space="preserve">学習とは、AIの性能を上げるために、データを読み込ませることです。</w:t>
      </w:r>
    </w:p>
    <w:p>
      <w:pPr>
        <w:spacing w:after="120" w:line="340"/>
      </w:pPr>
      <w:r>
        <w:t xml:space="preserve">表に無いサービスや、表に無いアカウントで使いたいときは、先に担当者に相談します。</w:t>
      </w:r>
    </w:p>
    <w:tbl>
      <w:tblPr>
        <w:tblW w:type="dxa" w:w="906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67"/>
        <w:gridCol w:w="2267"/>
        <w:gridCol w:w="2267"/>
        <w:gridCol w:w="2267"/>
      </w:tblGrid>
      <w:tr>
        <w:trPr>
          <w:tblHeader/>
        </w:trPr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/>
                <w:bCs/>
              </w:rPr>
            </w:pPr>
            <w:r>
              <w:rPr>
                <w:b/>
                <w:bCs/>
              </w:rPr>
              <w:t xml:space="preserve">サービスの名前</w:t>
            </w:r>
          </w:p>
        </w:tc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/>
                <w:bCs/>
              </w:rPr>
            </w:pPr>
            <w:r>
              <w:rPr>
                <w:b/>
                <w:bCs/>
              </w:rPr>
              <w:t xml:space="preserve">使うアカウント（会社のもの／個人のもの）</w:t>
            </w:r>
          </w:p>
        </w:tc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/>
                <w:bCs/>
              </w:rPr>
            </w:pPr>
            <w:r>
              <w:rPr>
                <w:b/>
                <w:bCs/>
              </w:rPr>
              <w:t xml:space="preserve">入力した内容が学習に使われるか（使われる／使われない）</w:t>
            </w:r>
          </w:p>
        </w:tc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/>
                <w:bCs/>
              </w:rPr>
            </w:pPr>
            <w:r>
              <w:rPr>
                <w:b/>
                <w:bCs/>
              </w:rPr>
              <w:t xml:space="preserve">確かめた日・確かめた人</w:t>
            </w:r>
          </w:p>
        </w:tc>
      </w:tr>
      <w:tr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60"/>
      </w:pPr>
      <w:r>
        <w:t xml:space="preserve"/>
      </w:r>
    </w:p>
    <w:p>
      <w:pPr>
        <w:pStyle w:val="Heading1"/>
        <w:keepNext/>
        <w:spacing w:after="140" w:before="320"/>
      </w:pPr>
      <w:r>
        <w:t xml:space="preserve">ルール2・ルール3：入れてはいけない情報</w:t>
      </w:r>
    </w:p>
    <w:p>
      <w:pPr>
        <w:spacing w:after="120" w:line="340"/>
      </w:pPr>
      <w:r>
        <w:t xml:space="preserve">下の表にあるものは、生成AIに入力しません。</w:t>
      </w:r>
    </w:p>
    <w:tbl>
      <w:tblPr>
        <w:tblW w:type="dxa" w:w="90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67"/>
        <w:gridCol w:w="6802"/>
      </w:tblGrid>
      <w:tr>
        <w:trPr>
          <w:tblHeader/>
        </w:trPr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/>
                <w:bCs/>
              </w:rPr>
            </w:pPr>
            <w:r>
              <w:rPr>
                <w:b/>
                <w:bCs/>
              </w:rPr>
              <w:t xml:space="preserve">どのルールか</w:t>
            </w:r>
          </w:p>
        </w:tc>
        <w:tc>
          <w:tcPr>
            <w:tcW w:type="dxa" w:w="6802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/>
                <w:bCs/>
              </w:rPr>
            </w:pPr>
            <w:r>
              <w:rPr>
                <w:b/>
                <w:bCs/>
              </w:rPr>
              <w:t xml:space="preserve">入れないもの</w:t>
            </w:r>
          </w:p>
        </w:tc>
      </w:tr>
      <w:tr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ルール2：個人情報</w:t>
            </w:r>
          </w:p>
        </w:tc>
        <w:tc>
          <w:tcPr>
            <w:tcW w:type="dxa" w:w="6802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お客様の氏名、電話番号、メールアドレス、住所</w:t>
            </w:r>
          </w:p>
        </w:tc>
      </w:tr>
      <w:tr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ルール2：個人情報</w:t>
            </w:r>
          </w:p>
        </w:tc>
        <w:tc>
          <w:tcPr>
            <w:tcW w:type="dxa" w:w="6802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取引先の担当者の氏名、電話番号、メールアドレス、住所</w:t>
            </w:r>
          </w:p>
        </w:tc>
      </w:tr>
      <w:tr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ルール2：個人情報</w:t>
            </w:r>
          </w:p>
        </w:tc>
        <w:tc>
          <w:tcPr>
            <w:tcW w:type="dxa" w:w="6802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社員の氏名、電話番号、メールアドレス、住所</w:t>
            </w:r>
          </w:p>
        </w:tc>
      </w:tr>
      <w:tr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ルール3：会社の秘密</w:t>
            </w:r>
          </w:p>
        </w:tc>
        <w:tc>
          <w:tcPr>
            <w:tcW w:type="dxa" w:w="6802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取引先の会社名</w:t>
            </w:r>
          </w:p>
        </w:tc>
      </w:tr>
      <w:tr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ルール3：会社の秘密</w:t>
            </w:r>
          </w:p>
        </w:tc>
        <w:tc>
          <w:tcPr>
            <w:tcW w:type="dxa" w:w="6802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品番</w:t>
            </w:r>
          </w:p>
        </w:tc>
      </w:tr>
      <w:tr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ルール3：会社の秘密</w:t>
            </w:r>
          </w:p>
        </w:tc>
        <w:tc>
          <w:tcPr>
            <w:tcW w:type="dxa" w:w="6802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図面</w:t>
            </w:r>
          </w:p>
        </w:tc>
      </w:tr>
      <w:tr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ルール3：会社の秘密</w:t>
            </w:r>
          </w:p>
        </w:tc>
        <w:tc>
          <w:tcPr>
            <w:tcW w:type="dxa" w:w="6802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単価、見積の金額</w:t>
            </w:r>
          </w:p>
        </w:tc>
      </w:tr>
      <w:tr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（自社で足すもの）</w:t>
            </w:r>
          </w:p>
        </w:tc>
        <w:tc>
          <w:tcPr>
            <w:tcW w:type="dxa" w:w="6802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60"/>
      </w:pPr>
      <w:r>
        <w:t xml:space="preserve"/>
      </w:r>
    </w:p>
    <w:p>
      <w:pPr>
        <w:spacing w:after="120" w:line="340"/>
      </w:pPr>
      <w:r>
        <w:t xml:space="preserve">図面は入力しません。それ以外のものが入った文面は、その部分を消すか、「○○」や「担当者」のような言葉に置き換えてから入力します。</w:t>
      </w:r>
    </w:p>
    <w:p>
      <w:pPr>
        <w:spacing w:after="120" w:line="340"/>
      </w:pPr>
      <w:r>
        <w:t xml:space="preserve">表に無い情報で、入れてよいか迷うものは、入れる前にルール5の表の「入れてよい情報か迷ったとき」の相手に聞きます。</w:t>
      </w:r>
    </w:p>
    <w:p>
      <w:pPr>
        <w:pStyle w:val="Heading1"/>
        <w:keepNext/>
        <w:spacing w:after="140" w:before="320"/>
      </w:pPr>
      <w:r>
        <w:t xml:space="preserve">ルール4：答えを使う前に確かめること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答えは最後まで読み、元の資料（たとえば注文書）と合っているかを確かめる。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数量や日付が出てくるときは、1つずつ見比べる。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頼んでいない条件や説明が足されていないかを見る。</w:t>
      </w:r>
    </w:p>
    <w:p>
      <w:pPr>
        <w:spacing w:after="120" w:line="340"/>
      </w:pPr>
      <w:r>
        <w:t xml:space="preserve">チラシ、ホームページ、取引先に渡すカタログなど、社外に出すものは、上に加えて、出す前に次のこともやります。</w:t>
      </w:r>
    </w:p>
    <w:p>
      <w:pPr>
        <w:spacing w:after="120" w:line="340"/>
      </w:pPr>
      <w:r>
        <w:t xml:space="preserve">「表の相手」とは、ルール5の表の「答えを使ってよいか迷ったとき」の相手のことです。</w:t>
      </w:r>
    </w:p>
    <w:p>
      <w:pPr>
        <w:pStyle w:val="ListParagraph"/>
        <w:numPr>
          <w:ilvl w:val="0"/>
          <w:numId w:val="4"/>
        </w:numPr>
        <w:spacing w:after="60" w:line="340"/>
      </w:pPr>
      <w:r>
        <w:t xml:space="preserve">似た文章や画像がすでに無いかを、インターネットの文章検索や画像検索で確かめる。</w:t>
      </w:r>
    </w:p>
    <w:p>
      <w:pPr>
        <w:pStyle w:val="ListParagraph"/>
        <w:numPr>
          <w:ilvl w:val="0"/>
          <w:numId w:val="4"/>
        </w:numPr>
        <w:spacing w:after="60" w:line="340"/>
      </w:pPr>
      <w:r>
        <w:t xml:space="preserve">似たものが見つかったときは、そのまま使わず、表の相手に聞く。</w:t>
      </w:r>
    </w:p>
    <w:p>
      <w:pPr>
        <w:pStyle w:val="ListParagraph"/>
        <w:numPr>
          <w:ilvl w:val="0"/>
          <w:numId w:val="4"/>
        </w:numPr>
        <w:spacing w:after="60" w:line="340"/>
      </w:pPr>
      <w:r>
        <w:t xml:space="preserve">上司が、検索した結果と中身を見る。上司にあたる人がいない場合は、表の相手が見る。</w:t>
      </w:r>
    </w:p>
    <w:p>
      <w:pPr>
        <w:pStyle w:val="ListParagraph"/>
        <w:numPr>
          <w:ilvl w:val="0"/>
          <w:numId w:val="4"/>
        </w:numPr>
        <w:spacing w:after="60" w:line="340"/>
      </w:pPr>
      <w:r>
        <w:t xml:space="preserve">社外に出してよいかは、上司（いない場合は表の相手）が決める。</w:t>
      </w:r>
    </w:p>
    <w:p>
      <w:pPr>
        <w:spacing w:after="120" w:line="340"/>
      </w:pPr>
      <w:r>
        <w:t xml:space="preserve">作った本人が表の相手である場合は、ほかの1人が見て、決めます。</w:t>
      </w:r>
    </w:p>
    <w:p>
      <w:pPr>
        <w:spacing w:after="120" w:line="340"/>
      </w:pPr>
      <w:r>
        <w:t xml:space="preserve">社外に出すものにあたるか迷うときは、使う前に表の相手に聞きます。</w:t>
      </w:r>
    </w:p>
    <w:p>
      <w:pPr>
        <w:spacing w:after="120" w:line="340"/>
      </w:pPr>
      <w:r>
        <w:t xml:space="preserve">生成AIに作らせた画像や図が、知っているものに似ていると感じたときは、社外に出さないものでも、使う前に表の相手に聞きます。</w:t>
      </w:r>
    </w:p>
    <w:p>
      <w:pPr>
        <w:spacing w:after="120" w:line="340"/>
      </w:pPr>
      <w:r>
        <w:t xml:space="preserve">このルールを守っても、著作権などの問題が起きないとは限りません。</w:t>
      </w:r>
    </w:p>
    <w:p>
      <w:pPr>
        <w:pStyle w:val="Heading1"/>
        <w:keepNext/>
        <w:spacing w:after="140" w:before="320"/>
      </w:pPr>
      <w:r>
        <w:t xml:space="preserve">ルール5：聞く相手と、知らせる相手</w:t>
      </w:r>
    </w:p>
    <w:tbl>
      <w:tblPr>
        <w:tblW w:type="dxa" w:w="90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35"/>
        <w:gridCol w:w="2267"/>
        <w:gridCol w:w="2267"/>
      </w:tblGrid>
      <w:tr>
        <w:trPr>
          <w:tblHeader/>
        </w:trPr>
        <w:tc>
          <w:tcPr>
            <w:tcW w:type="dxa" w:w="4535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/>
                <w:bCs/>
              </w:rPr>
            </w:pPr>
            <w:r>
              <w:rPr>
                <w:b/>
                <w:bCs/>
              </w:rPr>
              <w:t xml:space="preserve">こんなとき</w:t>
            </w:r>
          </w:p>
        </w:tc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/>
                <w:bCs/>
              </w:rPr>
            </w:pPr>
            <w:r>
              <w:rPr>
                <w:b/>
                <w:bCs/>
              </w:rPr>
              <w:t xml:space="preserve">相手（部署・氏名）</w:t>
            </w:r>
          </w:p>
        </w:tc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/>
                <w:bCs/>
              </w:rPr>
            </w:pPr>
            <w:r>
              <w:rPr>
                <w:b/>
                <w:bCs/>
              </w:rPr>
              <w:t xml:space="preserve">連絡の方法</w:t>
            </w:r>
          </w:p>
        </w:tc>
      </w:tr>
      <w:tr>
        <w:tc>
          <w:tcPr>
            <w:tcW w:type="dxa" w:w="4535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入れてよい情報か迷ったとき</w:t>
            </w:r>
          </w:p>
        </w:tc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4535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入れてはいけない情報を入れてしまったとき</w:t>
            </w:r>
          </w:p>
        </w:tc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4535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答えを使ってよいか迷ったとき</w:t>
            </w:r>
          </w:p>
        </w:tc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267"/>
            <w:tcBorders>
              <w:top w:val="single" w:color="808080" w:sz="6"/>
              <w:left w:val="single" w:color="808080" w:sz="6"/>
              <w:bottom w:val="single" w:color="808080" w:sz="6"/>
              <w:right w:val="single" w:color="80808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2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60"/>
      </w:pPr>
      <w:r>
        <w:t xml:space="preserve"/>
      </w:r>
    </w:p>
    <w:p>
      <w:pPr>
        <w:spacing w:after="120" w:line="340"/>
      </w:pPr>
      <w:r>
        <w:t xml:space="preserve">知らせるときは、いつ、どのサービスに、何を入れたかを伝えます。</w:t>
      </w:r>
    </w:p>
    <w:p>
      <w:pPr>
        <w:pStyle w:val="Heading1"/>
        <w:keepNext/>
        <w:spacing w:after="140" w:before="320"/>
      </w:pPr>
      <w:r>
        <w:t xml:space="preserve">伝え方と見直し</w:t>
      </w:r>
    </w:p>
    <w:p>
      <w:pPr>
        <w:spacing w:after="120" w:line="340"/>
      </w:pPr>
      <w:r>
        <w:t xml:space="preserve">このルールは、（朝礼・回覧など）で全員に伝えます。</w:t>
      </w:r>
    </w:p>
    <w:p>
      <w:pPr>
        <w:spacing w:after="120" w:line="340"/>
      </w:pPr>
      <w:r>
        <w:t xml:space="preserve">（　　年　　月）に、使ってみて困った点を集めて見直します。</w:t>
      </w:r>
    </w:p>
    <w:p>
      <w:pPr>
        <w:pStyle w:val="Heading1"/>
        <w:keepNext/>
        <w:spacing w:after="140" w:before="320"/>
      </w:pPr>
      <w:r>
        <w:t xml:space="preserve">書き換えのしかた</w:t>
      </w:r>
    </w:p>
    <w:p>
      <w:pPr>
        <w:spacing w:after="120" w:line="340"/>
      </w:pPr>
      <w:r>
        <w:t xml:space="preserve">ここから下は、ルールを作る人への案内です。社員に配る前に、「書き換えのしかた」の見出しと、ここから下を消してください。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（　）の中と、表の空いている欄を、自社に合わせて書き換える。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「対象」の欄は、自社に合わせて変えてよい。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ルール1の表には、担当者が、利用規約と、入力した内容がAIの学習に使われるかどうかを確かめたサービスだけを書く。使うアカウントが、会社のものか個人のものかも書く。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ルール2・ルール3の表は、自社に合わせて書き換える。足すものは「（自社で足すもの）」の行に書く。左の欄は「ルール2：個人情報」か「ルール3：会社の秘密」に書き換える。足すものが無ければ、その行を消す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数量と日付は、ルール2・ルール3の表に入っていない。取引先との取り決めで外に出せない場合は、表に足す。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ルール4の「社外に出すもの」の例は、自社に合わせて書き換える。取引先あてのメールを入れるかどうかも決めて、例に書く。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ルール5の表には、相手の部署・氏名と、連絡の方法を書く。空いたままで配らない。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伝え方と、見直す年月を書く。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社員に配る前に、題名の「（ひな形）」、いちばん上の注意書きの初めの2文、ページの下（フッター）の「ひな形」を消す。</w:t>
      </w:r>
    </w:p>
    <w:sectPr>
      <w:footerReference w:type="default" r:id="rId6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6"/>
        <w:szCs w:val="16"/>
      </w:rPr>
      <w:t xml:space="preserve">ひな形　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・"/>
      <w:lvlJc w:val="left"/>
      <w:pPr>
        <w:ind w:left="42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sz w:val="21"/>
        <w:szCs w:val="21"/>
        <w:lang w:eastAsia="ja-JP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rPr>
      <w:rFonts w:ascii="Yu Gothic" w:cs="Yu Gothic" w:eastAsia="游ゴシック" w:hAnsi="Yu Gothic"/>
      <w:b/>
      <w:bCs/>
      <w:sz w:val="32"/>
      <w:szCs w:val="32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Yu Gothic" w:cs="Yu Gothic" w:eastAsia="游ゴシック" w:hAnsi="Yu Gothic"/>
      <w:b/>
      <w:bCs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生成AIの社内ルール（ひな形）</dc:title>
  <cp:revision>1</cp:revision>
  <dcterms:created xsi:type="dcterms:W3CDTF">2026-10-04T07:39:00.752Z</dcterms:created>
  <dcterms:modified xsi:type="dcterms:W3CDTF">2026-10-04T07:39:00.752Z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